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B6F8" w14:textId="6A459F90" w:rsidR="00D45094" w:rsidRPr="00041DBD" w:rsidRDefault="00D45094" w:rsidP="00605D9C">
      <w:pPr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Administrative instructions for </w:t>
      </w:r>
      <w:r w:rsidR="00605D9C"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HNPW </w:t>
      </w: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participants</w:t>
      </w:r>
    </w:p>
    <w:p w14:paraId="0AEFCD21" w14:textId="77777777" w:rsidR="00C97628" w:rsidRPr="00041DBD" w:rsidRDefault="00C97628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</w:p>
    <w:p w14:paraId="1B10A2A8" w14:textId="415199F6" w:rsidR="00C97628" w:rsidRPr="00041DBD" w:rsidRDefault="00C97628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The HNPW 202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6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will be held in a hybrid format from 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02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to 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12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March 202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6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. The first week (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02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-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06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March) will be held remotely, the second week (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10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-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12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March) will be held </w:t>
      </w:r>
      <w:r w:rsidR="00823B0F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in a reduced three-day format 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face-to-face at the CICIG in Geneva.</w:t>
      </w:r>
    </w:p>
    <w:p w14:paraId="7D5E784D" w14:textId="77777777" w:rsidR="00C97628" w:rsidRPr="00041DBD" w:rsidRDefault="00C97628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</w:p>
    <w:p w14:paraId="4B508271" w14:textId="72CAAB74" w:rsidR="002D386C" w:rsidRPr="00041DBD" w:rsidRDefault="002D386C" w:rsidP="002D386C">
      <w:pPr>
        <w:spacing w:after="0" w:line="240" w:lineRule="auto"/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More than 50 humanitarian networks and partnerships organize meetings and sessions at the HNPW to which they invite their members and stakeholders to attend remotely or in-person. The HNPW secretariat does not send invitations to sessions participants.</w:t>
      </w:r>
    </w:p>
    <w:p w14:paraId="3EE0A616" w14:textId="77777777" w:rsidR="002D386C" w:rsidRPr="00041DBD" w:rsidRDefault="002D386C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</w:p>
    <w:p w14:paraId="05172ECB" w14:textId="683CBE54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Participant registration</w:t>
      </w:r>
    </w:p>
    <w:p w14:paraId="35AFB822" w14:textId="77777777" w:rsidR="002A7ED7" w:rsidRDefault="004820EB" w:rsidP="004820EB">
      <w:pPr>
        <w:spacing w:after="0" w:line="240" w:lineRule="auto"/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HNPW invitees receive session information (title, dates/time, agenda, and remote meeting links/passwords) from the inviting networks or partnerships.</w:t>
      </w:r>
      <w:r w:rsidR="002D386C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This information is sufficient to attend these sessions.</w:t>
      </w:r>
    </w:p>
    <w:p w14:paraId="29D797CE" w14:textId="63D6E377" w:rsidR="005A1588" w:rsidRPr="00041DBD" w:rsidRDefault="002D386C" w:rsidP="002A7ED7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The registration on the HNPW portal to attend sessions is not mandatory.</w:t>
      </w:r>
      <w:r w:rsidR="002A7ED7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</w:t>
      </w:r>
      <w:r w:rsidRPr="00041DBD">
        <w:rPr>
          <w:rFonts w:eastAsiaTheme="minorEastAsia" w:cstheme="minorHAnsi"/>
          <w:b/>
          <w:bCs/>
          <w:sz w:val="24"/>
          <w:szCs w:val="24"/>
        </w:rPr>
        <w:t>However, w</w:t>
      </w:r>
      <w:r w:rsidR="005A1588" w:rsidRPr="00041DBD">
        <w:rPr>
          <w:rFonts w:eastAsiaTheme="minorEastAsia" w:cstheme="minorHAnsi"/>
          <w:b/>
          <w:bCs/>
          <w:sz w:val="24"/>
          <w:szCs w:val="24"/>
        </w:rPr>
        <w:t>e kindly requested</w:t>
      </w:r>
      <w:r w:rsidR="002A7ED7">
        <w:rPr>
          <w:rFonts w:eastAsiaTheme="minorEastAsia" w:cstheme="minorHAnsi"/>
          <w:b/>
          <w:bCs/>
          <w:sz w:val="24"/>
          <w:szCs w:val="24"/>
        </w:rPr>
        <w:t xml:space="preserve"> all</w:t>
      </w:r>
      <w:r w:rsidR="005A1588" w:rsidRPr="00041DBD">
        <w:rPr>
          <w:rFonts w:eastAsiaTheme="minorEastAsia" w:cstheme="minorHAnsi"/>
          <w:b/>
          <w:bCs/>
          <w:sz w:val="24"/>
          <w:szCs w:val="24"/>
        </w:rPr>
        <w:t xml:space="preserve"> participants to register for </w:t>
      </w:r>
      <w:r w:rsidR="00D03F99">
        <w:rPr>
          <w:rFonts w:eastAsiaTheme="minorEastAsia" w:cstheme="minorHAnsi"/>
          <w:b/>
          <w:bCs/>
          <w:sz w:val="24"/>
          <w:szCs w:val="24"/>
        </w:rPr>
        <w:t>the</w:t>
      </w:r>
      <w:r w:rsidR="005A1588" w:rsidRPr="00041DBD">
        <w:rPr>
          <w:rFonts w:eastAsiaTheme="minorEastAsia" w:cstheme="minorHAnsi"/>
          <w:b/>
          <w:bCs/>
          <w:sz w:val="24"/>
          <w:szCs w:val="24"/>
        </w:rPr>
        <w:t xml:space="preserve"> sessions they plan to attend (remotely or in-person) for the following reason</w:t>
      </w:r>
      <w:r w:rsidR="00EE12E8">
        <w:rPr>
          <w:rFonts w:eastAsiaTheme="minorEastAsia" w:cstheme="minorHAnsi"/>
          <w:b/>
          <w:bCs/>
          <w:sz w:val="24"/>
          <w:szCs w:val="24"/>
        </w:rPr>
        <w:t>s</w:t>
      </w:r>
      <w:r w:rsidR="005A1588" w:rsidRPr="00041DBD">
        <w:rPr>
          <w:rFonts w:eastAsiaTheme="minorEastAsia" w:cstheme="minorHAnsi"/>
          <w:b/>
          <w:bCs/>
          <w:sz w:val="24"/>
          <w:szCs w:val="24"/>
        </w:rPr>
        <w:t>:</w:t>
      </w:r>
    </w:p>
    <w:p w14:paraId="6B6D8F13" w14:textId="0948C95A" w:rsidR="005A1588" w:rsidRPr="00041DBD" w:rsidRDefault="007169C7" w:rsidP="005A1588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To provide </w:t>
      </w:r>
      <w:r w:rsidR="00614C30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session organizers </w:t>
      </w:r>
      <w:r w:rsidR="004820EB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an indication of </w:t>
      </w:r>
      <w:r w:rsidR="00EE12E8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remote </w:t>
      </w:r>
      <w:r w:rsidR="000E6086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vs</w:t>
      </w:r>
      <w:r w:rsidR="00EE12E8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face-to-face </w:t>
      </w:r>
      <w:r w:rsidR="004820EB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attendance</w:t>
      </w:r>
    </w:p>
    <w:p w14:paraId="292C0DE6" w14:textId="5A9ACB63" w:rsidR="004B01A5" w:rsidRPr="00041DBD" w:rsidRDefault="005A1588" w:rsidP="005A1588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T</w:t>
      </w:r>
      <w:r w:rsidR="004820EB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o support </w:t>
      </w:r>
      <w:r w:rsidR="00614C30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logistic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s</w:t>
      </w:r>
      <w:r w:rsidR="00614C30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planning </w:t>
      </w:r>
      <w:r w:rsidR="007C2767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for</w:t>
      </w:r>
      <w:r w:rsidR="00614C30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the event (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assigning </w:t>
      </w:r>
      <w:r w:rsidR="009F4F75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of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rooms and catering</w:t>
      </w:r>
      <w:r w:rsidR="00614C30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).</w:t>
      </w:r>
    </w:p>
    <w:p w14:paraId="448EB545" w14:textId="6D4F7B4B" w:rsidR="006C68C1" w:rsidRPr="00041DBD" w:rsidRDefault="007C2767" w:rsidP="00E05997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</w:pP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To obtain connection details for remote attendance </w:t>
      </w:r>
      <w:r w:rsidR="00E05997"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in</w:t>
      </w:r>
      <w:r w:rsidRPr="00041DBD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 xml:space="preserve"> sessions </w:t>
      </w:r>
      <w:r w:rsidR="005C77C4">
        <w:rPr>
          <w:rStyle w:val="Hyperlink"/>
          <w:rFonts w:eastAsiaTheme="minorEastAsia" w:cstheme="minorHAnsi"/>
          <w:color w:val="auto"/>
          <w:sz w:val="24"/>
          <w:szCs w:val="24"/>
          <w:u w:val="none"/>
        </w:rPr>
        <w:t>of other networks to which an invitation has not been received.</w:t>
      </w:r>
    </w:p>
    <w:p w14:paraId="7961FD97" w14:textId="432ED8CB" w:rsidR="00D45094" w:rsidRPr="00041DBD" w:rsidRDefault="004B01A5" w:rsidP="0089427B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041DBD">
        <w:rPr>
          <w:rFonts w:eastAsiaTheme="minorEastAsia" w:cstheme="minorHAnsi"/>
          <w:b/>
          <w:bCs/>
          <w:sz w:val="24"/>
          <w:szCs w:val="24"/>
        </w:rPr>
        <w:t>Registration process</w:t>
      </w:r>
    </w:p>
    <w:p w14:paraId="773FC96C" w14:textId="33EF9E1B" w:rsidR="004B01A5" w:rsidRPr="00041DBD" w:rsidRDefault="004B01A5" w:rsidP="004B01A5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Login to the event portal (same account as previous HNPW or Virtual OSOCC) or create a new account</w:t>
      </w:r>
      <w:r w:rsidR="005C77C4">
        <w:rPr>
          <w:rFonts w:eastAsiaTheme="minorEastAsia" w:cstheme="minorHAnsi"/>
          <w:sz w:val="24"/>
          <w:szCs w:val="24"/>
        </w:rPr>
        <w:t>. Please use “Forgot password” in case you forgot your credentials.</w:t>
      </w:r>
    </w:p>
    <w:p w14:paraId="5D488233" w14:textId="353C709F" w:rsidR="00483939" w:rsidRPr="00041DBD" w:rsidRDefault="00483939" w:rsidP="004B01A5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The e-badge for in-person attendance can be downloaded </w:t>
      </w:r>
      <w:r w:rsidR="005C77C4">
        <w:rPr>
          <w:rFonts w:eastAsiaTheme="minorEastAsia" w:cstheme="minorHAnsi"/>
          <w:sz w:val="24"/>
          <w:szCs w:val="24"/>
        </w:rPr>
        <w:t>at</w:t>
      </w:r>
      <w:r w:rsidRPr="00041DBD">
        <w:rPr>
          <w:rFonts w:eastAsiaTheme="minorEastAsia" w:cstheme="minorHAnsi"/>
          <w:sz w:val="24"/>
          <w:szCs w:val="24"/>
        </w:rPr>
        <w:t xml:space="preserve"> the top </w:t>
      </w:r>
      <w:r w:rsidR="005C77C4">
        <w:rPr>
          <w:rFonts w:eastAsiaTheme="minorEastAsia" w:cstheme="minorHAnsi"/>
          <w:sz w:val="24"/>
          <w:szCs w:val="24"/>
        </w:rPr>
        <w:t>right</w:t>
      </w:r>
      <w:r w:rsidRPr="00041DBD">
        <w:rPr>
          <w:rFonts w:eastAsiaTheme="minorEastAsia" w:cstheme="minorHAnsi"/>
          <w:sz w:val="24"/>
          <w:szCs w:val="24"/>
        </w:rPr>
        <w:t xml:space="preserve"> upon login</w:t>
      </w:r>
      <w:r w:rsidR="005C77C4">
        <w:rPr>
          <w:rFonts w:eastAsiaTheme="minorEastAsia" w:cstheme="minorHAnsi"/>
          <w:sz w:val="24"/>
          <w:szCs w:val="24"/>
        </w:rPr>
        <w:t>.</w:t>
      </w:r>
    </w:p>
    <w:p w14:paraId="47500F0C" w14:textId="3930EE12" w:rsidR="00483939" w:rsidRPr="00041DBD" w:rsidRDefault="00483939" w:rsidP="004B01A5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To register for sessions of interest</w:t>
      </w:r>
      <w:r w:rsidR="000723AB">
        <w:rPr>
          <w:rFonts w:eastAsiaTheme="minorEastAsia" w:cstheme="minorHAnsi"/>
          <w:sz w:val="24"/>
          <w:szCs w:val="24"/>
        </w:rPr>
        <w:t>:</w:t>
      </w:r>
    </w:p>
    <w:p w14:paraId="46DF5BA9" w14:textId="3D08C96C" w:rsidR="004B01A5" w:rsidRPr="00041DBD" w:rsidRDefault="00F148DA" w:rsidP="00483939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Once logged in, o</w:t>
      </w:r>
      <w:r w:rsidR="004B01A5" w:rsidRPr="00041DBD">
        <w:rPr>
          <w:rFonts w:eastAsiaTheme="minorEastAsia" w:cstheme="minorHAnsi"/>
          <w:sz w:val="24"/>
          <w:szCs w:val="24"/>
        </w:rPr>
        <w:t>pen the tab “Event Program”</w:t>
      </w:r>
    </w:p>
    <w:p w14:paraId="5FD009E7" w14:textId="26B6876B" w:rsidR="004B01A5" w:rsidRPr="00041DBD" w:rsidRDefault="004B01A5" w:rsidP="00483939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Use the filter to find sessions of interest (by network, keyword, da</w:t>
      </w:r>
      <w:r w:rsidR="00F148DA" w:rsidRPr="00041DBD">
        <w:rPr>
          <w:rFonts w:eastAsiaTheme="minorEastAsia" w:cstheme="minorHAnsi"/>
          <w:sz w:val="24"/>
          <w:szCs w:val="24"/>
        </w:rPr>
        <w:t>y, etc.</w:t>
      </w:r>
      <w:r w:rsidRPr="00041DBD">
        <w:rPr>
          <w:rFonts w:eastAsiaTheme="minorEastAsia" w:cstheme="minorHAnsi"/>
          <w:sz w:val="24"/>
          <w:szCs w:val="24"/>
        </w:rPr>
        <w:t>)</w:t>
      </w:r>
    </w:p>
    <w:p w14:paraId="533FE5E8" w14:textId="7D0FFA55" w:rsidR="004B01A5" w:rsidRPr="00041DBD" w:rsidRDefault="004B01A5" w:rsidP="00483939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Register for sessions of interest</w:t>
      </w:r>
      <w:r w:rsidR="005C77C4">
        <w:rPr>
          <w:rFonts w:eastAsiaTheme="minorEastAsia" w:cstheme="minorHAnsi"/>
          <w:sz w:val="24"/>
          <w:szCs w:val="24"/>
        </w:rPr>
        <w:t xml:space="preserve"> using the blue “Register” button</w:t>
      </w:r>
      <w:r w:rsidR="0009659D">
        <w:rPr>
          <w:rFonts w:eastAsiaTheme="minorEastAsia" w:cstheme="minorHAnsi"/>
          <w:sz w:val="24"/>
          <w:szCs w:val="24"/>
        </w:rPr>
        <w:t>.</w:t>
      </w:r>
    </w:p>
    <w:p w14:paraId="229EA8D4" w14:textId="42B98051" w:rsidR="004B01A5" w:rsidRPr="00041DBD" w:rsidRDefault="004B01A5" w:rsidP="00483939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Use “Your registered sessions” </w:t>
      </w:r>
      <w:r w:rsidR="00F148DA" w:rsidRPr="00041DBD">
        <w:rPr>
          <w:rFonts w:eastAsiaTheme="minorEastAsia" w:cstheme="minorHAnsi"/>
          <w:sz w:val="24"/>
          <w:szCs w:val="24"/>
        </w:rPr>
        <w:t xml:space="preserve">in the session filter </w:t>
      </w:r>
      <w:r w:rsidRPr="00041DBD">
        <w:rPr>
          <w:rFonts w:eastAsiaTheme="minorEastAsia" w:cstheme="minorHAnsi"/>
          <w:sz w:val="24"/>
          <w:szCs w:val="24"/>
        </w:rPr>
        <w:t>to review, change or cancel session registrations</w:t>
      </w:r>
      <w:r w:rsidR="0009659D">
        <w:rPr>
          <w:rFonts w:eastAsiaTheme="minorEastAsia" w:cstheme="minorHAnsi"/>
          <w:sz w:val="24"/>
          <w:szCs w:val="24"/>
        </w:rPr>
        <w:t>.</w:t>
      </w:r>
    </w:p>
    <w:p w14:paraId="7124169F" w14:textId="5080772C" w:rsidR="00E97432" w:rsidRPr="00041DBD" w:rsidRDefault="00E97432" w:rsidP="00483939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Use “Download as DPF” in the form header to export your selected sessions as pdf.</w:t>
      </w:r>
    </w:p>
    <w:p w14:paraId="41E5DBD1" w14:textId="77777777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14:paraId="3F4A7E38" w14:textId="7373F0B2" w:rsidR="00D45094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Connection details for r</w:t>
      </w:r>
      <w:r w:rsidR="00D45094"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emote attendance</w:t>
      </w:r>
    </w:p>
    <w:p w14:paraId="27D907A2" w14:textId="7C00790D" w:rsidR="00D45094" w:rsidRPr="00041DBD" w:rsidRDefault="00D45094" w:rsidP="00D04D6B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Connection details (for public and private sessions) will be provided by the organizing networks or partnerships</w:t>
      </w:r>
      <w:r w:rsidR="004B01A5" w:rsidRPr="00041DBD">
        <w:rPr>
          <w:rFonts w:eastAsiaTheme="minorEastAsia" w:cstheme="minorHAnsi"/>
          <w:sz w:val="24"/>
          <w:szCs w:val="24"/>
        </w:rPr>
        <w:t xml:space="preserve"> in the invitation to their </w:t>
      </w:r>
      <w:r w:rsidR="008B7996" w:rsidRPr="00041DBD">
        <w:rPr>
          <w:rFonts w:eastAsiaTheme="minorEastAsia" w:cstheme="minorHAnsi"/>
          <w:sz w:val="24"/>
          <w:szCs w:val="24"/>
        </w:rPr>
        <w:t>invitees</w:t>
      </w:r>
      <w:r w:rsidR="000723AB">
        <w:rPr>
          <w:rFonts w:eastAsiaTheme="minorEastAsia" w:cstheme="minorHAnsi"/>
          <w:sz w:val="24"/>
          <w:szCs w:val="24"/>
        </w:rPr>
        <w:t>.</w:t>
      </w:r>
    </w:p>
    <w:p w14:paraId="4C068ACC" w14:textId="710F93CB" w:rsidR="00D45094" w:rsidRPr="00041DBD" w:rsidRDefault="00D45094" w:rsidP="00D04D6B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The connection details for remote and hybrid public sessions </w:t>
      </w:r>
      <w:r w:rsidR="004B01A5" w:rsidRPr="00041DBD">
        <w:rPr>
          <w:rFonts w:eastAsiaTheme="minorEastAsia" w:cstheme="minorHAnsi"/>
          <w:sz w:val="24"/>
          <w:szCs w:val="24"/>
        </w:rPr>
        <w:t>are</w:t>
      </w:r>
      <w:r w:rsidRPr="00041DBD">
        <w:rPr>
          <w:rFonts w:eastAsiaTheme="minorEastAsia" w:cstheme="minorHAnsi"/>
          <w:sz w:val="24"/>
          <w:szCs w:val="24"/>
        </w:rPr>
        <w:t xml:space="preserve"> </w:t>
      </w:r>
      <w:r w:rsidR="008B7996" w:rsidRPr="00041DBD">
        <w:rPr>
          <w:rFonts w:eastAsiaTheme="minorEastAsia" w:cstheme="minorHAnsi"/>
          <w:sz w:val="24"/>
          <w:szCs w:val="24"/>
        </w:rPr>
        <w:t xml:space="preserve">also </w:t>
      </w:r>
      <w:r w:rsidRPr="00041DBD">
        <w:rPr>
          <w:rFonts w:eastAsiaTheme="minorEastAsia" w:cstheme="minorHAnsi"/>
          <w:sz w:val="24"/>
          <w:szCs w:val="24"/>
        </w:rPr>
        <w:t>available in the event program</w:t>
      </w:r>
      <w:r w:rsidR="004B01A5" w:rsidRPr="00041DBD">
        <w:rPr>
          <w:rFonts w:eastAsiaTheme="minorEastAsia" w:cstheme="minorHAnsi"/>
          <w:sz w:val="24"/>
          <w:szCs w:val="24"/>
        </w:rPr>
        <w:t xml:space="preserve"> (login required)</w:t>
      </w:r>
      <w:r w:rsidR="000723AB">
        <w:rPr>
          <w:rFonts w:eastAsiaTheme="minorEastAsia" w:cstheme="minorHAnsi"/>
          <w:sz w:val="24"/>
          <w:szCs w:val="24"/>
        </w:rPr>
        <w:t>.</w:t>
      </w:r>
    </w:p>
    <w:p w14:paraId="1F49926A" w14:textId="4AACF616" w:rsidR="0089427B" w:rsidRPr="00041DBD" w:rsidRDefault="00AB1682" w:rsidP="00D04D6B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Upon registration, participants receive an </w:t>
      </w:r>
      <w:r w:rsidR="00147EF7" w:rsidRPr="00041DBD">
        <w:rPr>
          <w:rFonts w:eastAsiaTheme="minorEastAsia" w:cstheme="minorHAnsi"/>
          <w:sz w:val="24"/>
          <w:szCs w:val="24"/>
        </w:rPr>
        <w:t>automatic confirmation by email</w:t>
      </w:r>
      <w:r w:rsidR="006005AE" w:rsidRPr="00041DBD">
        <w:rPr>
          <w:rFonts w:eastAsiaTheme="minorEastAsia" w:cstheme="minorHAnsi"/>
          <w:sz w:val="24"/>
          <w:szCs w:val="24"/>
        </w:rPr>
        <w:t xml:space="preserve"> containing connection details and a </w:t>
      </w:r>
      <w:r w:rsidRPr="00041DBD">
        <w:rPr>
          <w:rFonts w:eastAsiaTheme="minorEastAsia" w:cstheme="minorHAnsi"/>
          <w:sz w:val="24"/>
          <w:szCs w:val="24"/>
        </w:rPr>
        <w:t>calendar invite</w:t>
      </w:r>
      <w:r w:rsidR="006005AE" w:rsidRPr="00041DBD">
        <w:rPr>
          <w:rFonts w:eastAsiaTheme="minorEastAsia" w:cstheme="minorHAnsi"/>
          <w:sz w:val="24"/>
          <w:szCs w:val="24"/>
        </w:rPr>
        <w:t xml:space="preserve"> (</w:t>
      </w:r>
      <w:r w:rsidR="00B30696" w:rsidRPr="00041DBD">
        <w:rPr>
          <w:rFonts w:eastAsiaTheme="minorEastAsia" w:cstheme="minorHAnsi"/>
          <w:sz w:val="24"/>
          <w:szCs w:val="24"/>
        </w:rPr>
        <w:t>as invite</w:t>
      </w:r>
      <w:r w:rsidR="008B7996" w:rsidRPr="00041DBD">
        <w:rPr>
          <w:rFonts w:eastAsiaTheme="minorEastAsia" w:cstheme="minorHAnsi"/>
          <w:sz w:val="24"/>
          <w:szCs w:val="24"/>
        </w:rPr>
        <w:t xml:space="preserve">.ics </w:t>
      </w:r>
      <w:r w:rsidR="006005AE" w:rsidRPr="00041DBD">
        <w:rPr>
          <w:rFonts w:eastAsiaTheme="minorEastAsia" w:cstheme="minorHAnsi"/>
          <w:sz w:val="24"/>
          <w:szCs w:val="24"/>
        </w:rPr>
        <w:t>attachment)</w:t>
      </w:r>
      <w:r w:rsidRPr="00041DBD">
        <w:rPr>
          <w:rFonts w:eastAsiaTheme="minorEastAsia" w:cstheme="minorHAnsi"/>
          <w:sz w:val="24"/>
          <w:szCs w:val="24"/>
        </w:rPr>
        <w:t>.</w:t>
      </w:r>
    </w:p>
    <w:p w14:paraId="07287FB5" w14:textId="77777777" w:rsidR="0089427B" w:rsidRPr="00041DBD" w:rsidRDefault="0089427B" w:rsidP="0089427B">
      <w:pPr>
        <w:pStyle w:val="ListParagraph"/>
        <w:spacing w:after="0" w:line="240" w:lineRule="auto"/>
        <w:ind w:left="1440"/>
        <w:rPr>
          <w:rFonts w:eastAsiaTheme="minorEastAsia" w:cstheme="minorHAnsi"/>
          <w:sz w:val="24"/>
          <w:szCs w:val="24"/>
        </w:rPr>
      </w:pPr>
    </w:p>
    <w:p w14:paraId="672271D8" w14:textId="3612EACD" w:rsidR="00D45094" w:rsidRPr="00041DBD" w:rsidRDefault="00CA77B9" w:rsidP="0089427B">
      <w:pPr>
        <w:spacing w:after="0" w:line="240" w:lineRule="auto"/>
        <w:rPr>
          <w:rFonts w:eastAsiaTheme="minorEastAsia" w:cstheme="minorHAnsi"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Address of the HNPW </w:t>
      </w:r>
      <w:r w:rsidR="004B01A5"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conference </w:t>
      </w:r>
      <w:r w:rsidR="0089427B"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venue</w:t>
      </w:r>
      <w:r w:rsidR="005C52A1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 (CICG)</w:t>
      </w:r>
    </w:p>
    <w:p w14:paraId="69A95E36" w14:textId="2323AF12" w:rsidR="00D45094" w:rsidRPr="00041DBD" w:rsidRDefault="00D45094" w:rsidP="00C35D37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  <w:lang w:val="fr-CH"/>
        </w:rPr>
      </w:pPr>
      <w:r w:rsidRPr="00041DBD">
        <w:rPr>
          <w:rFonts w:eastAsiaTheme="minorEastAsia" w:cstheme="minorHAnsi"/>
          <w:sz w:val="24"/>
          <w:szCs w:val="24"/>
          <w:lang w:val="fr-CH"/>
        </w:rPr>
        <w:t>Centre International de Conférences Genève (CICG)</w:t>
      </w:r>
      <w:r w:rsidRPr="00041DBD">
        <w:rPr>
          <w:rFonts w:eastAsiaTheme="minorEastAsia" w:cstheme="minorHAnsi"/>
          <w:sz w:val="24"/>
          <w:szCs w:val="24"/>
          <w:lang w:val="fr-CH"/>
        </w:rPr>
        <w:br/>
        <w:t xml:space="preserve">Rue de </w:t>
      </w:r>
      <w:proofErr w:type="spellStart"/>
      <w:r w:rsidRPr="00041DBD">
        <w:rPr>
          <w:rFonts w:eastAsiaTheme="minorEastAsia" w:cstheme="minorHAnsi"/>
          <w:sz w:val="24"/>
          <w:szCs w:val="24"/>
          <w:lang w:val="fr-CH"/>
        </w:rPr>
        <w:t>Varembé</w:t>
      </w:r>
      <w:proofErr w:type="spellEnd"/>
      <w:r w:rsidRPr="00041DBD">
        <w:rPr>
          <w:rFonts w:eastAsiaTheme="minorEastAsia" w:cstheme="minorHAnsi"/>
          <w:sz w:val="24"/>
          <w:szCs w:val="24"/>
          <w:lang w:val="fr-CH"/>
        </w:rPr>
        <w:t xml:space="preserve"> 17, 1202 Geneva, Switzerland</w:t>
      </w:r>
      <w:r w:rsidRPr="00041DBD">
        <w:rPr>
          <w:rFonts w:eastAsiaTheme="minorEastAsia" w:cstheme="minorHAnsi"/>
          <w:sz w:val="24"/>
          <w:szCs w:val="24"/>
          <w:lang w:val="fr-CH"/>
        </w:rPr>
        <w:br/>
      </w:r>
      <w:proofErr w:type="spellStart"/>
      <w:r w:rsidRPr="00041DBD">
        <w:rPr>
          <w:rFonts w:eastAsiaTheme="minorEastAsia" w:cstheme="minorHAnsi"/>
          <w:sz w:val="24"/>
          <w:szCs w:val="24"/>
          <w:lang w:val="fr-CH"/>
        </w:rPr>
        <w:t>Website</w:t>
      </w:r>
      <w:proofErr w:type="spellEnd"/>
      <w:r w:rsidRPr="00041DBD">
        <w:rPr>
          <w:rFonts w:eastAsiaTheme="minorEastAsia" w:cstheme="minorHAnsi"/>
          <w:sz w:val="24"/>
          <w:szCs w:val="24"/>
          <w:lang w:val="fr-CH"/>
        </w:rPr>
        <w:t xml:space="preserve"> : </w:t>
      </w:r>
      <w:hyperlink r:id="rId10" w:history="1">
        <w:r w:rsidRPr="00041DBD">
          <w:rPr>
            <w:rStyle w:val="Hyperlink"/>
            <w:rFonts w:eastAsiaTheme="minorEastAsia" w:cstheme="minorHAnsi"/>
            <w:sz w:val="24"/>
            <w:szCs w:val="24"/>
            <w:lang w:val="fr-CH"/>
          </w:rPr>
          <w:t>https://cicg.ch</w:t>
        </w:r>
      </w:hyperlink>
      <w:r w:rsidRPr="00041DBD">
        <w:rPr>
          <w:rFonts w:eastAsiaTheme="minorEastAsia" w:cstheme="minorHAnsi"/>
          <w:sz w:val="24"/>
          <w:szCs w:val="24"/>
          <w:lang w:val="fr-CH"/>
        </w:rPr>
        <w:t xml:space="preserve"> </w:t>
      </w:r>
    </w:p>
    <w:p w14:paraId="51E25102" w14:textId="724A974F" w:rsidR="0089427B" w:rsidRPr="00041DBD" w:rsidRDefault="0089427B" w:rsidP="0089427B">
      <w:pPr>
        <w:spacing w:after="0" w:line="240" w:lineRule="auto"/>
        <w:rPr>
          <w:rFonts w:eastAsiaTheme="minorEastAsia" w:cstheme="minorHAnsi"/>
          <w:sz w:val="24"/>
          <w:szCs w:val="24"/>
          <w:lang w:val="fr-CH"/>
        </w:rPr>
      </w:pPr>
    </w:p>
    <w:p w14:paraId="329BACE2" w14:textId="13A03667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Costs for travel and accommodation</w:t>
      </w:r>
      <w:r w:rsidR="00CA77B9"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 xml:space="preserve"> of participants</w:t>
      </w:r>
    </w:p>
    <w:p w14:paraId="133B1052" w14:textId="6CA76020" w:rsidR="0089427B" w:rsidRPr="00041DBD" w:rsidRDefault="00D45094" w:rsidP="00CE313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Participants are responsible to cover the costs for their travel and accommodation and </w:t>
      </w:r>
      <w:r w:rsidR="004B01A5" w:rsidRPr="00041DBD">
        <w:rPr>
          <w:rFonts w:eastAsiaTheme="minorEastAsia" w:cstheme="minorHAnsi"/>
          <w:sz w:val="24"/>
          <w:szCs w:val="24"/>
        </w:rPr>
        <w:t xml:space="preserve">to </w:t>
      </w:r>
      <w:r w:rsidRPr="00041DBD">
        <w:rPr>
          <w:rFonts w:eastAsiaTheme="minorEastAsia" w:cstheme="minorHAnsi"/>
          <w:sz w:val="24"/>
          <w:szCs w:val="24"/>
        </w:rPr>
        <w:t>make their own arrangements</w:t>
      </w:r>
      <w:r w:rsidR="004B01A5" w:rsidRPr="00041DBD">
        <w:rPr>
          <w:rFonts w:eastAsiaTheme="minorEastAsia" w:cstheme="minorHAnsi"/>
          <w:sz w:val="24"/>
          <w:szCs w:val="24"/>
        </w:rPr>
        <w:t xml:space="preserve"> for accommodation.</w:t>
      </w:r>
    </w:p>
    <w:p w14:paraId="76272CB1" w14:textId="4E84FAC6" w:rsidR="00CE3131" w:rsidRPr="00041DBD" w:rsidRDefault="002102BB" w:rsidP="00CE313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T</w:t>
      </w:r>
      <w:r w:rsidR="00F15ECE" w:rsidRPr="00041DBD">
        <w:rPr>
          <w:rFonts w:eastAsiaTheme="minorEastAsia" w:cstheme="minorHAnsi"/>
          <w:sz w:val="24"/>
          <w:szCs w:val="24"/>
        </w:rPr>
        <w:t>he inviting network or partnership</w:t>
      </w:r>
      <w:r w:rsidR="00CA77B9" w:rsidRPr="00041DBD">
        <w:rPr>
          <w:rFonts w:eastAsiaTheme="minorEastAsia" w:cstheme="minorHAnsi"/>
          <w:sz w:val="24"/>
          <w:szCs w:val="24"/>
        </w:rPr>
        <w:t xml:space="preserve"> may s</w:t>
      </w:r>
      <w:r w:rsidR="00CE3131" w:rsidRPr="00041DBD">
        <w:rPr>
          <w:rFonts w:eastAsiaTheme="minorEastAsia" w:cstheme="minorHAnsi"/>
          <w:sz w:val="24"/>
          <w:szCs w:val="24"/>
        </w:rPr>
        <w:t xml:space="preserve">upport </w:t>
      </w:r>
      <w:r w:rsidR="00CA77B9" w:rsidRPr="00041DBD">
        <w:rPr>
          <w:rFonts w:eastAsiaTheme="minorEastAsia" w:cstheme="minorHAnsi"/>
          <w:sz w:val="24"/>
          <w:szCs w:val="24"/>
        </w:rPr>
        <w:t>travel and accommodation</w:t>
      </w:r>
      <w:r w:rsidR="00CE3131" w:rsidRPr="00041DBD">
        <w:rPr>
          <w:rFonts w:eastAsiaTheme="minorEastAsia" w:cstheme="minorHAnsi"/>
          <w:sz w:val="24"/>
          <w:szCs w:val="24"/>
        </w:rPr>
        <w:t xml:space="preserve"> </w:t>
      </w:r>
      <w:r w:rsidR="00F15ECE" w:rsidRPr="00041DBD">
        <w:rPr>
          <w:rFonts w:eastAsiaTheme="minorEastAsia" w:cstheme="minorHAnsi"/>
          <w:sz w:val="24"/>
          <w:szCs w:val="24"/>
        </w:rPr>
        <w:t>for invite</w:t>
      </w:r>
      <w:r w:rsidR="000622A0" w:rsidRPr="00041DBD">
        <w:rPr>
          <w:rFonts w:eastAsiaTheme="minorEastAsia" w:cstheme="minorHAnsi"/>
          <w:sz w:val="24"/>
          <w:szCs w:val="24"/>
        </w:rPr>
        <w:t>es</w:t>
      </w:r>
      <w:r w:rsidR="00F15ECE" w:rsidRPr="00041DBD">
        <w:rPr>
          <w:rFonts w:eastAsiaTheme="minorEastAsia" w:cstheme="minorHAnsi"/>
          <w:sz w:val="24"/>
          <w:szCs w:val="24"/>
        </w:rPr>
        <w:t xml:space="preserve"> </w:t>
      </w:r>
      <w:r w:rsidR="00CA77B9" w:rsidRPr="00041DBD">
        <w:rPr>
          <w:rFonts w:eastAsiaTheme="minorEastAsia" w:cstheme="minorHAnsi"/>
          <w:sz w:val="24"/>
          <w:szCs w:val="24"/>
        </w:rPr>
        <w:t>(</w:t>
      </w:r>
      <w:r w:rsidR="00CE3131" w:rsidRPr="00041DBD">
        <w:rPr>
          <w:rFonts w:eastAsiaTheme="minorEastAsia" w:cstheme="minorHAnsi"/>
          <w:sz w:val="24"/>
          <w:szCs w:val="24"/>
        </w:rPr>
        <w:t>speakers and board members</w:t>
      </w:r>
      <w:r w:rsidR="00CA77B9" w:rsidRPr="00041DBD">
        <w:rPr>
          <w:rFonts w:eastAsiaTheme="minorEastAsia" w:cstheme="minorHAnsi"/>
          <w:sz w:val="24"/>
          <w:szCs w:val="24"/>
        </w:rPr>
        <w:t>)</w:t>
      </w:r>
      <w:r w:rsidR="00CE3131" w:rsidRPr="00041DBD">
        <w:rPr>
          <w:rFonts w:eastAsiaTheme="minorEastAsia" w:cstheme="minorHAnsi"/>
          <w:sz w:val="24"/>
          <w:szCs w:val="24"/>
        </w:rPr>
        <w:t xml:space="preserve"> as per the organization</w:t>
      </w:r>
      <w:r w:rsidRPr="00041DBD">
        <w:rPr>
          <w:rFonts w:eastAsiaTheme="minorEastAsia" w:cstheme="minorHAnsi"/>
          <w:sz w:val="24"/>
          <w:szCs w:val="24"/>
        </w:rPr>
        <w:t>’</w:t>
      </w:r>
      <w:r w:rsidR="00CE3131" w:rsidRPr="00041DBD">
        <w:rPr>
          <w:rFonts w:eastAsiaTheme="minorEastAsia" w:cstheme="minorHAnsi"/>
          <w:sz w:val="24"/>
          <w:szCs w:val="24"/>
        </w:rPr>
        <w:t>s internal policy</w:t>
      </w:r>
      <w:r w:rsidR="000723AB">
        <w:rPr>
          <w:rFonts w:eastAsiaTheme="minorEastAsia" w:cstheme="minorHAnsi"/>
          <w:sz w:val="24"/>
          <w:szCs w:val="24"/>
        </w:rPr>
        <w:t>.</w:t>
      </w:r>
    </w:p>
    <w:p w14:paraId="615AC965" w14:textId="3CC8BC92" w:rsidR="00CE3131" w:rsidRPr="00041DBD" w:rsidRDefault="00CE3131" w:rsidP="00CE3131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The HNPW secretariat does not provide financial support</w:t>
      </w:r>
      <w:r w:rsidR="002102BB" w:rsidRPr="00041DBD">
        <w:rPr>
          <w:rFonts w:eastAsiaTheme="minorEastAsia" w:cstheme="minorHAnsi"/>
          <w:sz w:val="24"/>
          <w:szCs w:val="24"/>
        </w:rPr>
        <w:t xml:space="preserve"> </w:t>
      </w:r>
      <w:r w:rsidRPr="00041DBD">
        <w:rPr>
          <w:rFonts w:eastAsiaTheme="minorEastAsia" w:cstheme="minorHAnsi"/>
          <w:sz w:val="24"/>
          <w:szCs w:val="24"/>
        </w:rPr>
        <w:t>to participants</w:t>
      </w:r>
      <w:r w:rsidR="000723AB">
        <w:rPr>
          <w:rFonts w:eastAsiaTheme="minorEastAsia" w:cstheme="minorHAnsi"/>
          <w:sz w:val="24"/>
          <w:szCs w:val="24"/>
        </w:rPr>
        <w:t>.</w:t>
      </w:r>
    </w:p>
    <w:p w14:paraId="20961032" w14:textId="5CDFF7C1" w:rsidR="0089427B" w:rsidRPr="00041DBD" w:rsidRDefault="0089427B" w:rsidP="0089427B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17309DF4" w14:textId="45B5D647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Visa support for face-to-face attendance</w:t>
      </w:r>
    </w:p>
    <w:p w14:paraId="154075AF" w14:textId="7753BF97" w:rsidR="00CE3131" w:rsidRPr="00041DBD" w:rsidRDefault="008B7996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N</w:t>
      </w:r>
      <w:r w:rsidR="00D45094" w:rsidRPr="00041DBD">
        <w:rPr>
          <w:rFonts w:eastAsiaTheme="minorEastAsia" w:cstheme="minorHAnsi"/>
          <w:sz w:val="24"/>
          <w:szCs w:val="24"/>
        </w:rPr>
        <w:t xml:space="preserve">ominal invitations (for visa support) </w:t>
      </w:r>
      <w:r w:rsidR="008B3029" w:rsidRPr="00041DBD">
        <w:rPr>
          <w:rFonts w:eastAsiaTheme="minorEastAsia" w:cstheme="minorHAnsi"/>
          <w:sz w:val="24"/>
          <w:szCs w:val="24"/>
        </w:rPr>
        <w:t xml:space="preserve">must be requested from </w:t>
      </w:r>
      <w:r w:rsidR="00FC5956" w:rsidRPr="00041DBD">
        <w:rPr>
          <w:rFonts w:eastAsiaTheme="minorEastAsia" w:cstheme="minorHAnsi"/>
          <w:sz w:val="24"/>
          <w:szCs w:val="24"/>
        </w:rPr>
        <w:t xml:space="preserve">the </w:t>
      </w:r>
      <w:r w:rsidR="00D91BF1" w:rsidRPr="00041DBD">
        <w:rPr>
          <w:rFonts w:eastAsiaTheme="minorEastAsia" w:cstheme="minorHAnsi"/>
          <w:sz w:val="24"/>
          <w:szCs w:val="24"/>
        </w:rPr>
        <w:t xml:space="preserve">inviting </w:t>
      </w:r>
      <w:r w:rsidR="00D45094" w:rsidRPr="00041DBD">
        <w:rPr>
          <w:rFonts w:eastAsiaTheme="minorEastAsia" w:cstheme="minorHAnsi"/>
          <w:sz w:val="24"/>
          <w:szCs w:val="24"/>
        </w:rPr>
        <w:t>network or partnership.</w:t>
      </w:r>
      <w:r w:rsidR="008B3029" w:rsidRPr="00041DBD">
        <w:rPr>
          <w:rFonts w:eastAsiaTheme="minorEastAsia" w:cstheme="minorHAnsi"/>
          <w:sz w:val="24"/>
          <w:szCs w:val="24"/>
        </w:rPr>
        <w:t xml:space="preserve"> </w:t>
      </w:r>
      <w:r w:rsidR="0007045B" w:rsidRPr="00041DBD">
        <w:rPr>
          <w:rFonts w:eastAsiaTheme="minorEastAsia" w:cstheme="minorHAnsi"/>
          <w:sz w:val="24"/>
          <w:szCs w:val="24"/>
        </w:rPr>
        <w:t xml:space="preserve">For hybrid </w:t>
      </w:r>
      <w:r w:rsidR="002102BB" w:rsidRPr="00041DBD">
        <w:rPr>
          <w:rFonts w:eastAsiaTheme="minorEastAsia" w:cstheme="minorHAnsi"/>
          <w:sz w:val="24"/>
          <w:szCs w:val="24"/>
        </w:rPr>
        <w:t xml:space="preserve">and face-to-face sessions, </w:t>
      </w:r>
      <w:r w:rsidR="0007045B" w:rsidRPr="00041DBD">
        <w:rPr>
          <w:rFonts w:eastAsiaTheme="minorEastAsia" w:cstheme="minorHAnsi"/>
          <w:sz w:val="24"/>
          <w:szCs w:val="24"/>
        </w:rPr>
        <w:t>n</w:t>
      </w:r>
      <w:r w:rsidR="0006547F" w:rsidRPr="00041DBD">
        <w:rPr>
          <w:rFonts w:eastAsiaTheme="minorEastAsia" w:cstheme="minorHAnsi"/>
          <w:sz w:val="24"/>
          <w:szCs w:val="24"/>
        </w:rPr>
        <w:t>ominal invitation</w:t>
      </w:r>
      <w:r w:rsidR="00CB05E7" w:rsidRPr="00041DBD">
        <w:rPr>
          <w:rFonts w:eastAsiaTheme="minorEastAsia" w:cstheme="minorHAnsi"/>
          <w:sz w:val="24"/>
          <w:szCs w:val="24"/>
        </w:rPr>
        <w:t>s</w:t>
      </w:r>
      <w:r w:rsidR="0006547F" w:rsidRPr="00041DBD">
        <w:rPr>
          <w:rFonts w:eastAsiaTheme="minorEastAsia" w:cstheme="minorHAnsi"/>
          <w:sz w:val="24"/>
          <w:szCs w:val="24"/>
        </w:rPr>
        <w:t xml:space="preserve"> will </w:t>
      </w:r>
      <w:r w:rsidR="002102BB" w:rsidRPr="00041DBD">
        <w:rPr>
          <w:rFonts w:eastAsiaTheme="minorEastAsia" w:cstheme="minorHAnsi"/>
          <w:sz w:val="24"/>
          <w:szCs w:val="24"/>
        </w:rPr>
        <w:t xml:space="preserve">usually </w:t>
      </w:r>
      <w:r w:rsidR="0006547F" w:rsidRPr="00041DBD">
        <w:rPr>
          <w:rFonts w:eastAsiaTheme="minorEastAsia" w:cstheme="minorHAnsi"/>
          <w:sz w:val="24"/>
          <w:szCs w:val="24"/>
        </w:rPr>
        <w:t xml:space="preserve">be provided to speakers and key </w:t>
      </w:r>
      <w:r w:rsidR="0007045B" w:rsidRPr="00041DBD">
        <w:rPr>
          <w:rFonts w:eastAsiaTheme="minorEastAsia" w:cstheme="minorHAnsi"/>
          <w:sz w:val="24"/>
          <w:szCs w:val="24"/>
        </w:rPr>
        <w:t xml:space="preserve">delegates (e.g. </w:t>
      </w:r>
      <w:r w:rsidR="0006547F" w:rsidRPr="00041DBD">
        <w:rPr>
          <w:rFonts w:eastAsiaTheme="minorEastAsia" w:cstheme="minorHAnsi"/>
          <w:sz w:val="24"/>
          <w:szCs w:val="24"/>
        </w:rPr>
        <w:t>Board members</w:t>
      </w:r>
      <w:r w:rsidR="0007045B" w:rsidRPr="00041DBD">
        <w:rPr>
          <w:rFonts w:eastAsiaTheme="minorEastAsia" w:cstheme="minorHAnsi"/>
          <w:sz w:val="24"/>
          <w:szCs w:val="24"/>
        </w:rPr>
        <w:t>), who</w:t>
      </w:r>
      <w:r w:rsidRPr="00041DBD">
        <w:rPr>
          <w:rFonts w:eastAsiaTheme="minorEastAsia" w:cstheme="minorHAnsi"/>
          <w:sz w:val="24"/>
          <w:szCs w:val="24"/>
        </w:rPr>
        <w:t>’s presence</w:t>
      </w:r>
      <w:r w:rsidR="0007045B" w:rsidRPr="00041DBD">
        <w:rPr>
          <w:rFonts w:eastAsiaTheme="minorEastAsia" w:cstheme="minorHAnsi"/>
          <w:sz w:val="24"/>
          <w:szCs w:val="24"/>
        </w:rPr>
        <w:t xml:space="preserve"> </w:t>
      </w:r>
      <w:r w:rsidRPr="00041DBD">
        <w:rPr>
          <w:rFonts w:eastAsiaTheme="minorEastAsia" w:cstheme="minorHAnsi"/>
          <w:sz w:val="24"/>
          <w:szCs w:val="24"/>
        </w:rPr>
        <w:t>is</w:t>
      </w:r>
      <w:r w:rsidR="0007045B" w:rsidRPr="00041DBD">
        <w:rPr>
          <w:rFonts w:eastAsiaTheme="minorEastAsia" w:cstheme="minorHAnsi"/>
          <w:sz w:val="24"/>
          <w:szCs w:val="24"/>
        </w:rPr>
        <w:t xml:space="preserve"> required at the venue. </w:t>
      </w:r>
      <w:r w:rsidRPr="00041DBD">
        <w:rPr>
          <w:rFonts w:eastAsiaTheme="minorEastAsia" w:cstheme="minorHAnsi"/>
          <w:sz w:val="24"/>
          <w:szCs w:val="24"/>
        </w:rPr>
        <w:t>H</w:t>
      </w:r>
      <w:r w:rsidR="0007045B" w:rsidRPr="00041DBD">
        <w:rPr>
          <w:rFonts w:eastAsiaTheme="minorEastAsia" w:cstheme="minorHAnsi"/>
          <w:sz w:val="24"/>
          <w:szCs w:val="24"/>
        </w:rPr>
        <w:t xml:space="preserve">ybrid sessions can be attended remotely by those who </w:t>
      </w:r>
      <w:r w:rsidR="002102BB" w:rsidRPr="00041DBD">
        <w:rPr>
          <w:rFonts w:eastAsiaTheme="minorEastAsia" w:cstheme="minorHAnsi"/>
          <w:sz w:val="24"/>
          <w:szCs w:val="24"/>
        </w:rPr>
        <w:t>did</w:t>
      </w:r>
      <w:r w:rsidR="0007045B" w:rsidRPr="00041DBD">
        <w:rPr>
          <w:rFonts w:eastAsiaTheme="minorEastAsia" w:cstheme="minorHAnsi"/>
          <w:sz w:val="24"/>
          <w:szCs w:val="24"/>
        </w:rPr>
        <w:t xml:space="preserve"> not obtain visa support.</w:t>
      </w:r>
    </w:p>
    <w:p w14:paraId="1F1658AF" w14:textId="6F410F49" w:rsidR="00D45094" w:rsidRPr="00041DBD" w:rsidRDefault="00D45094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The HNPW secretariat does not issue nominal invitations </w:t>
      </w:r>
      <w:r w:rsidR="002102BB" w:rsidRPr="00041DBD">
        <w:rPr>
          <w:rFonts w:eastAsiaTheme="minorEastAsia" w:cstheme="minorHAnsi"/>
          <w:sz w:val="24"/>
          <w:szCs w:val="24"/>
        </w:rPr>
        <w:t xml:space="preserve">and visa support letters </w:t>
      </w:r>
      <w:r w:rsidR="000622A0" w:rsidRPr="00041DBD">
        <w:rPr>
          <w:rFonts w:eastAsiaTheme="minorEastAsia" w:cstheme="minorHAnsi"/>
          <w:sz w:val="24"/>
          <w:szCs w:val="24"/>
        </w:rPr>
        <w:t>to</w:t>
      </w:r>
      <w:r w:rsidRPr="00041DBD">
        <w:rPr>
          <w:rFonts w:eastAsiaTheme="minorEastAsia" w:cstheme="minorHAnsi"/>
          <w:sz w:val="24"/>
          <w:szCs w:val="24"/>
        </w:rPr>
        <w:t xml:space="preserve"> event</w:t>
      </w:r>
      <w:r w:rsidR="004B01A5" w:rsidRPr="00041DBD">
        <w:rPr>
          <w:rFonts w:eastAsiaTheme="minorEastAsia" w:cstheme="minorHAnsi"/>
          <w:sz w:val="24"/>
          <w:szCs w:val="24"/>
        </w:rPr>
        <w:t xml:space="preserve"> participants</w:t>
      </w:r>
      <w:r w:rsidRPr="00041DBD">
        <w:rPr>
          <w:rFonts w:eastAsiaTheme="minorEastAsia" w:cstheme="minorHAnsi"/>
          <w:sz w:val="24"/>
          <w:szCs w:val="24"/>
        </w:rPr>
        <w:t>.</w:t>
      </w:r>
    </w:p>
    <w:p w14:paraId="5C39FC99" w14:textId="77777777" w:rsidR="0089427B" w:rsidRPr="00041DBD" w:rsidRDefault="0089427B" w:rsidP="0089427B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0E8DA685" w14:textId="2DF44527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Participant badges</w:t>
      </w:r>
    </w:p>
    <w:p w14:paraId="24532F4B" w14:textId="3CC96A61" w:rsidR="00C72F29" w:rsidRPr="00041DBD" w:rsidRDefault="00251431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 confirmation message after </w:t>
      </w:r>
      <w:r w:rsidR="00C72F29" w:rsidRPr="00041DBD">
        <w:rPr>
          <w:rFonts w:eastAsiaTheme="minorEastAsia" w:cstheme="minorHAnsi"/>
          <w:sz w:val="24"/>
          <w:szCs w:val="24"/>
        </w:rPr>
        <w:t>registering for sessions</w:t>
      </w:r>
      <w:r>
        <w:rPr>
          <w:rFonts w:eastAsiaTheme="minorEastAsia" w:cstheme="minorHAnsi"/>
          <w:sz w:val="24"/>
          <w:szCs w:val="24"/>
        </w:rPr>
        <w:t xml:space="preserve"> contains a link to download the e-badge for in-person attendance.</w:t>
      </w:r>
    </w:p>
    <w:p w14:paraId="561919C0" w14:textId="3E1D616E" w:rsidR="00C72F29" w:rsidRPr="00041DBD" w:rsidRDefault="00C72F29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The participant e-badge can </w:t>
      </w:r>
      <w:r w:rsidR="008B7996" w:rsidRPr="00041DBD">
        <w:rPr>
          <w:rFonts w:eastAsiaTheme="minorEastAsia" w:cstheme="minorHAnsi"/>
          <w:sz w:val="24"/>
          <w:szCs w:val="24"/>
        </w:rPr>
        <w:t xml:space="preserve">also </w:t>
      </w:r>
      <w:r w:rsidRPr="00041DBD">
        <w:rPr>
          <w:rFonts w:eastAsiaTheme="minorEastAsia" w:cstheme="minorHAnsi"/>
          <w:sz w:val="24"/>
          <w:szCs w:val="24"/>
        </w:rPr>
        <w:t xml:space="preserve">be downloaded at </w:t>
      </w:r>
      <w:hyperlink r:id="rId11" w:history="1">
        <w:r w:rsidR="00F727D2" w:rsidRPr="00F6029E">
          <w:rPr>
            <w:rStyle w:val="Hyperlink"/>
            <w:rFonts w:eastAsiaTheme="minorEastAsia" w:cstheme="minorHAnsi"/>
            <w:sz w:val="24"/>
            <w:szCs w:val="24"/>
          </w:rPr>
          <w:t>www.hnpw.org</w:t>
        </w:r>
      </w:hyperlink>
      <w:r w:rsidRPr="00041DBD">
        <w:rPr>
          <w:rFonts w:eastAsiaTheme="minorEastAsia" w:cstheme="minorHAnsi"/>
          <w:sz w:val="24"/>
          <w:szCs w:val="24"/>
        </w:rPr>
        <w:t xml:space="preserve"> </w:t>
      </w:r>
      <w:r w:rsidR="002102BB" w:rsidRPr="00041DBD">
        <w:rPr>
          <w:rFonts w:eastAsiaTheme="minorEastAsia" w:cstheme="minorHAnsi"/>
          <w:sz w:val="24"/>
          <w:szCs w:val="24"/>
        </w:rPr>
        <w:t xml:space="preserve">at the top right page upon </w:t>
      </w:r>
      <w:r w:rsidRPr="00041DBD">
        <w:rPr>
          <w:rFonts w:eastAsiaTheme="minorEastAsia" w:cstheme="minorHAnsi"/>
          <w:sz w:val="24"/>
          <w:szCs w:val="24"/>
        </w:rPr>
        <w:t>login</w:t>
      </w:r>
      <w:r w:rsidR="002102BB" w:rsidRPr="00041DBD">
        <w:rPr>
          <w:rFonts w:eastAsiaTheme="minorEastAsia" w:cstheme="minorHAnsi"/>
          <w:sz w:val="24"/>
          <w:szCs w:val="24"/>
        </w:rPr>
        <w:t>.</w:t>
      </w:r>
    </w:p>
    <w:p w14:paraId="3755057F" w14:textId="355D39A6" w:rsidR="00D45094" w:rsidRPr="00041DBD" w:rsidRDefault="00C72F29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On request, participant </w:t>
      </w:r>
      <w:r w:rsidR="002102BB" w:rsidRPr="00041DBD">
        <w:rPr>
          <w:rFonts w:eastAsiaTheme="minorEastAsia" w:cstheme="minorHAnsi"/>
          <w:sz w:val="24"/>
          <w:szCs w:val="24"/>
        </w:rPr>
        <w:t xml:space="preserve">(plastic) </w:t>
      </w:r>
      <w:r w:rsidRPr="00041DBD">
        <w:rPr>
          <w:rFonts w:eastAsiaTheme="minorEastAsia" w:cstheme="minorHAnsi"/>
          <w:sz w:val="24"/>
          <w:szCs w:val="24"/>
        </w:rPr>
        <w:t xml:space="preserve">badges </w:t>
      </w:r>
      <w:r w:rsidR="008B7996" w:rsidRPr="00041DBD">
        <w:rPr>
          <w:rFonts w:eastAsiaTheme="minorEastAsia" w:cstheme="minorHAnsi"/>
          <w:sz w:val="24"/>
          <w:szCs w:val="24"/>
        </w:rPr>
        <w:t>can</w:t>
      </w:r>
      <w:r w:rsidRPr="00041DBD">
        <w:rPr>
          <w:rFonts w:eastAsiaTheme="minorEastAsia" w:cstheme="minorHAnsi"/>
          <w:sz w:val="24"/>
          <w:szCs w:val="24"/>
        </w:rPr>
        <w:t xml:space="preserve"> be printed at the venue</w:t>
      </w:r>
      <w:r w:rsidR="00F727D2">
        <w:rPr>
          <w:rFonts w:eastAsiaTheme="minorEastAsia" w:cstheme="minorHAnsi"/>
          <w:sz w:val="24"/>
          <w:szCs w:val="24"/>
        </w:rPr>
        <w:t xml:space="preserve"> for those not concerned about the environment.</w:t>
      </w:r>
    </w:p>
    <w:p w14:paraId="44F6C354" w14:textId="591BE89B" w:rsidR="00C72F29" w:rsidRPr="00041DBD" w:rsidRDefault="00C72F29" w:rsidP="00C72F29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Participants who are </w:t>
      </w:r>
      <w:r w:rsidR="00744B8F" w:rsidRPr="00041DBD">
        <w:rPr>
          <w:rFonts w:eastAsiaTheme="minorEastAsia" w:cstheme="minorHAnsi"/>
          <w:sz w:val="24"/>
          <w:szCs w:val="24"/>
        </w:rPr>
        <w:t xml:space="preserve">concerned </w:t>
      </w:r>
      <w:r w:rsidRPr="00041DBD">
        <w:rPr>
          <w:rFonts w:eastAsiaTheme="minorEastAsia" w:cstheme="minorHAnsi"/>
          <w:sz w:val="24"/>
          <w:szCs w:val="24"/>
        </w:rPr>
        <w:t xml:space="preserve">about visibility may consider using their </w:t>
      </w:r>
      <w:r w:rsidR="002102BB" w:rsidRPr="00041DBD">
        <w:rPr>
          <w:rFonts w:eastAsiaTheme="minorEastAsia" w:cstheme="minorHAnsi"/>
          <w:sz w:val="24"/>
          <w:szCs w:val="24"/>
        </w:rPr>
        <w:t xml:space="preserve">own </w:t>
      </w:r>
      <w:r w:rsidR="00744B8F" w:rsidRPr="00041DBD">
        <w:rPr>
          <w:rFonts w:eastAsiaTheme="minorEastAsia" w:cstheme="minorHAnsi"/>
          <w:sz w:val="24"/>
          <w:szCs w:val="24"/>
        </w:rPr>
        <w:t>organization</w:t>
      </w:r>
      <w:r w:rsidR="004B01A5" w:rsidRPr="00041DBD">
        <w:rPr>
          <w:rFonts w:eastAsiaTheme="minorEastAsia" w:cstheme="minorHAnsi"/>
          <w:sz w:val="24"/>
          <w:szCs w:val="24"/>
        </w:rPr>
        <w:t>’</w:t>
      </w:r>
      <w:r w:rsidR="00744B8F" w:rsidRPr="00041DBD">
        <w:rPr>
          <w:rFonts w:eastAsiaTheme="minorEastAsia" w:cstheme="minorHAnsi"/>
          <w:sz w:val="24"/>
          <w:szCs w:val="24"/>
        </w:rPr>
        <w:t>s</w:t>
      </w:r>
      <w:r w:rsidRPr="00041DBD">
        <w:rPr>
          <w:rFonts w:eastAsiaTheme="minorEastAsia" w:cstheme="minorHAnsi"/>
          <w:sz w:val="24"/>
          <w:szCs w:val="24"/>
        </w:rPr>
        <w:t xml:space="preserve"> badge</w:t>
      </w:r>
      <w:r w:rsidR="002102BB" w:rsidRPr="00041DBD">
        <w:rPr>
          <w:rFonts w:eastAsiaTheme="minorEastAsia" w:cstheme="minorHAnsi"/>
          <w:sz w:val="24"/>
          <w:szCs w:val="24"/>
        </w:rPr>
        <w:t>.</w:t>
      </w:r>
    </w:p>
    <w:p w14:paraId="7550C690" w14:textId="5590B962" w:rsidR="0089427B" w:rsidRPr="00041DBD" w:rsidRDefault="0089427B" w:rsidP="0089427B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2C24C569" w14:textId="42F21BEB" w:rsidR="0089427B" w:rsidRPr="00041DBD" w:rsidRDefault="0089427B" w:rsidP="0089427B">
      <w:pPr>
        <w:spacing w:after="0" w:line="240" w:lineRule="auto"/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eastAsiaTheme="minorEastAsia" w:cstheme="minorHAnsi"/>
          <w:b/>
          <w:bCs/>
          <w:color w:val="1F3864" w:themeColor="accent1" w:themeShade="80"/>
          <w:sz w:val="24"/>
          <w:szCs w:val="24"/>
        </w:rPr>
        <w:t>Coffee and lunch</w:t>
      </w:r>
    </w:p>
    <w:p w14:paraId="53C09D65" w14:textId="7AEB97F2" w:rsidR="00D45094" w:rsidRPr="00041DBD" w:rsidRDefault="00D45094" w:rsidP="006E13D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 xml:space="preserve">Coffee </w:t>
      </w:r>
      <w:r w:rsidR="002102BB" w:rsidRPr="00041DBD">
        <w:rPr>
          <w:rFonts w:eastAsiaTheme="minorEastAsia" w:cstheme="minorHAnsi"/>
          <w:sz w:val="24"/>
          <w:szCs w:val="24"/>
        </w:rPr>
        <w:t>and refreshments are</w:t>
      </w:r>
      <w:r w:rsidRPr="00041DBD">
        <w:rPr>
          <w:rFonts w:eastAsiaTheme="minorEastAsia" w:cstheme="minorHAnsi"/>
          <w:sz w:val="24"/>
          <w:szCs w:val="24"/>
        </w:rPr>
        <w:t xml:space="preserve"> provided </w:t>
      </w:r>
      <w:r w:rsidR="008B7996" w:rsidRPr="00041DBD">
        <w:rPr>
          <w:rFonts w:eastAsiaTheme="minorEastAsia" w:cstheme="minorHAnsi"/>
          <w:sz w:val="24"/>
          <w:szCs w:val="24"/>
        </w:rPr>
        <w:t xml:space="preserve">in the breaks </w:t>
      </w:r>
      <w:r w:rsidRPr="00041DBD">
        <w:rPr>
          <w:rFonts w:eastAsiaTheme="minorEastAsia" w:cstheme="minorHAnsi"/>
          <w:sz w:val="24"/>
          <w:szCs w:val="24"/>
        </w:rPr>
        <w:t xml:space="preserve">by the </w:t>
      </w:r>
      <w:r w:rsidR="002102BB" w:rsidRPr="00041DBD">
        <w:rPr>
          <w:rFonts w:eastAsiaTheme="minorEastAsia" w:cstheme="minorHAnsi"/>
          <w:sz w:val="24"/>
          <w:szCs w:val="24"/>
        </w:rPr>
        <w:t xml:space="preserve">event </w:t>
      </w:r>
      <w:r w:rsidRPr="00041DBD">
        <w:rPr>
          <w:rFonts w:eastAsiaTheme="minorEastAsia" w:cstheme="minorHAnsi"/>
          <w:sz w:val="24"/>
          <w:szCs w:val="24"/>
        </w:rPr>
        <w:t>organizer at the venue</w:t>
      </w:r>
      <w:r w:rsidR="002102BB" w:rsidRPr="00041DBD">
        <w:rPr>
          <w:rFonts w:eastAsiaTheme="minorEastAsia" w:cstheme="minorHAnsi"/>
          <w:sz w:val="24"/>
          <w:szCs w:val="24"/>
        </w:rPr>
        <w:t>.</w:t>
      </w:r>
    </w:p>
    <w:p w14:paraId="1F6317BE" w14:textId="6FEA2AD7" w:rsidR="00D45094" w:rsidRPr="00041DBD" w:rsidRDefault="00D45094" w:rsidP="006E13D5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41DBD">
        <w:rPr>
          <w:rFonts w:eastAsiaTheme="minorEastAsia" w:cstheme="minorHAnsi"/>
          <w:sz w:val="24"/>
          <w:szCs w:val="24"/>
        </w:rPr>
        <w:t>Lunch is at the cost of participants. A cafeteria is available at the venue</w:t>
      </w:r>
      <w:r w:rsidR="0046589F" w:rsidRPr="00041DBD">
        <w:rPr>
          <w:rFonts w:eastAsiaTheme="minorEastAsia" w:cstheme="minorHAnsi"/>
          <w:sz w:val="24"/>
          <w:szCs w:val="24"/>
        </w:rPr>
        <w:t>. R</w:t>
      </w:r>
      <w:r w:rsidR="006E13D5" w:rsidRPr="00041DBD">
        <w:rPr>
          <w:rFonts w:eastAsiaTheme="minorEastAsia" w:cstheme="minorHAnsi"/>
          <w:sz w:val="24"/>
          <w:szCs w:val="24"/>
        </w:rPr>
        <w:t>estaurants are nearby</w:t>
      </w:r>
      <w:r w:rsidRPr="00041DBD">
        <w:rPr>
          <w:rFonts w:eastAsiaTheme="minorEastAsia" w:cstheme="minorHAnsi"/>
          <w:sz w:val="24"/>
          <w:szCs w:val="24"/>
        </w:rPr>
        <w:t>.</w:t>
      </w:r>
    </w:p>
    <w:p w14:paraId="684E1236" w14:textId="5CFF648D" w:rsidR="002C2BEA" w:rsidRPr="00041DBD" w:rsidRDefault="002C2BEA" w:rsidP="00A07106">
      <w:pPr>
        <w:spacing w:after="0" w:line="240" w:lineRule="auto"/>
        <w:rPr>
          <w:rFonts w:cstheme="minorHAnsi"/>
          <w:sz w:val="24"/>
          <w:szCs w:val="24"/>
        </w:rPr>
      </w:pPr>
    </w:p>
    <w:p w14:paraId="58DFEFEC" w14:textId="77777777" w:rsidR="00EE73DA" w:rsidRDefault="00C72F29" w:rsidP="00563A7B">
      <w:p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cstheme="minorHAnsi"/>
          <w:b/>
          <w:bCs/>
          <w:color w:val="1F3864" w:themeColor="accent1" w:themeShade="80"/>
          <w:sz w:val="24"/>
          <w:szCs w:val="24"/>
        </w:rPr>
        <w:t>Nursery</w:t>
      </w:r>
    </w:p>
    <w:p w14:paraId="1EDB62FB" w14:textId="297D025E" w:rsidR="00C72F29" w:rsidRPr="00EE73DA" w:rsidRDefault="00C72F29" w:rsidP="00EE73D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E73DA">
        <w:rPr>
          <w:rFonts w:cstheme="minorHAnsi"/>
          <w:sz w:val="24"/>
          <w:szCs w:val="24"/>
        </w:rPr>
        <w:t xml:space="preserve">A nursery </w:t>
      </w:r>
      <w:r w:rsidR="00744B8F" w:rsidRPr="00EE73DA">
        <w:rPr>
          <w:rFonts w:cstheme="minorHAnsi"/>
          <w:sz w:val="24"/>
          <w:szCs w:val="24"/>
        </w:rPr>
        <w:t>(</w:t>
      </w:r>
      <w:r w:rsidRPr="00EE73DA">
        <w:rPr>
          <w:rFonts w:cstheme="minorHAnsi"/>
          <w:sz w:val="24"/>
          <w:szCs w:val="24"/>
        </w:rPr>
        <w:t>for breast-feeding mothers</w:t>
      </w:r>
      <w:r w:rsidR="00744B8F" w:rsidRPr="00EE73DA">
        <w:rPr>
          <w:rFonts w:cstheme="minorHAnsi"/>
          <w:sz w:val="24"/>
          <w:szCs w:val="24"/>
        </w:rPr>
        <w:t>)</w:t>
      </w:r>
      <w:r w:rsidRPr="00EE73DA">
        <w:rPr>
          <w:rFonts w:cstheme="minorHAnsi"/>
          <w:sz w:val="24"/>
          <w:szCs w:val="24"/>
        </w:rPr>
        <w:t xml:space="preserve"> is available at the venue</w:t>
      </w:r>
      <w:r w:rsidR="009F6AB0">
        <w:rPr>
          <w:rFonts w:cstheme="minorHAnsi"/>
          <w:sz w:val="24"/>
          <w:szCs w:val="24"/>
        </w:rPr>
        <w:t>.</w:t>
      </w:r>
    </w:p>
    <w:p w14:paraId="685C9CEE" w14:textId="66B3A34B" w:rsidR="00C72F29" w:rsidRPr="00041DBD" w:rsidRDefault="00C72F29" w:rsidP="00A07106">
      <w:pPr>
        <w:spacing w:after="0" w:line="240" w:lineRule="auto"/>
        <w:rPr>
          <w:rFonts w:cstheme="minorHAnsi"/>
          <w:sz w:val="24"/>
          <w:szCs w:val="24"/>
        </w:rPr>
      </w:pPr>
    </w:p>
    <w:p w14:paraId="0FDA1DCB" w14:textId="43971B41" w:rsidR="00EE73DA" w:rsidRDefault="00C72F29" w:rsidP="00563A7B">
      <w:p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cstheme="minorHAnsi"/>
          <w:b/>
          <w:bCs/>
          <w:color w:val="1F3864" w:themeColor="accent1" w:themeShade="80"/>
          <w:sz w:val="24"/>
          <w:szCs w:val="24"/>
        </w:rPr>
        <w:t>Prayer room</w:t>
      </w:r>
      <w:r w:rsidR="00563A7B" w:rsidRPr="00041DBD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52A9E167" w14:textId="3BD08EF0" w:rsidR="00C72F29" w:rsidRPr="00EE73DA" w:rsidRDefault="00C72F29" w:rsidP="00EE73D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E73DA">
        <w:rPr>
          <w:rFonts w:cstheme="minorHAnsi"/>
          <w:sz w:val="24"/>
          <w:szCs w:val="24"/>
        </w:rPr>
        <w:t>A prayer room is available at the venue</w:t>
      </w:r>
      <w:r w:rsidR="009F6AB0">
        <w:rPr>
          <w:rFonts w:cstheme="minorHAnsi"/>
          <w:sz w:val="24"/>
          <w:szCs w:val="24"/>
        </w:rPr>
        <w:t>.</w:t>
      </w:r>
    </w:p>
    <w:p w14:paraId="043D90E6" w14:textId="77777777" w:rsidR="00C72F29" w:rsidRPr="00041DBD" w:rsidRDefault="00C72F29" w:rsidP="00A07106">
      <w:pPr>
        <w:spacing w:after="0" w:line="240" w:lineRule="auto"/>
        <w:rPr>
          <w:rFonts w:cstheme="minorHAnsi"/>
          <w:sz w:val="24"/>
          <w:szCs w:val="24"/>
        </w:rPr>
      </w:pPr>
    </w:p>
    <w:p w14:paraId="7E6AB436" w14:textId="65929626" w:rsidR="00EE73DA" w:rsidRDefault="000E46D0" w:rsidP="00563A7B">
      <w:pPr>
        <w:spacing w:after="0" w:line="240" w:lineRule="auto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041DBD">
        <w:rPr>
          <w:rFonts w:cstheme="minorHAnsi"/>
          <w:b/>
          <w:bCs/>
          <w:color w:val="1F3864" w:themeColor="accent1" w:themeShade="80"/>
          <w:sz w:val="24"/>
          <w:szCs w:val="24"/>
        </w:rPr>
        <w:t>Parking</w:t>
      </w:r>
      <w:r w:rsidR="00563A7B" w:rsidRPr="00041DBD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541D4FF7" w14:textId="50807D19" w:rsidR="000E46D0" w:rsidRPr="00EE73DA" w:rsidRDefault="000E46D0" w:rsidP="00EE73D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E73DA">
        <w:rPr>
          <w:rFonts w:cstheme="minorHAnsi"/>
          <w:sz w:val="24"/>
          <w:szCs w:val="24"/>
        </w:rPr>
        <w:t>A parking garage is available (at own costs) in the proximity of the venue</w:t>
      </w:r>
      <w:r w:rsidR="00596E1E" w:rsidRPr="00EE73DA">
        <w:rPr>
          <w:rFonts w:cstheme="minorHAnsi"/>
          <w:sz w:val="24"/>
          <w:szCs w:val="24"/>
        </w:rPr>
        <w:t>. Visit the</w:t>
      </w:r>
      <w:r w:rsidR="008B7996" w:rsidRPr="00EE73DA">
        <w:rPr>
          <w:rFonts w:cstheme="minorHAnsi"/>
          <w:sz w:val="24"/>
          <w:szCs w:val="24"/>
        </w:rPr>
        <w:t xml:space="preserve"> parking garage</w:t>
      </w:r>
      <w:r w:rsidR="00596E1E" w:rsidRPr="00EE73DA">
        <w:rPr>
          <w:rFonts w:cstheme="minorHAnsi"/>
          <w:sz w:val="24"/>
          <w:szCs w:val="24"/>
        </w:rPr>
        <w:t xml:space="preserve"> </w:t>
      </w:r>
      <w:hyperlink r:id="rId12" w:history="1">
        <w:r w:rsidR="00596E1E" w:rsidRPr="00EE73DA">
          <w:rPr>
            <w:rStyle w:val="Hyperlink"/>
            <w:rFonts w:cstheme="minorHAnsi"/>
            <w:sz w:val="24"/>
            <w:szCs w:val="24"/>
          </w:rPr>
          <w:t>website</w:t>
        </w:r>
      </w:hyperlink>
      <w:r w:rsidR="00596E1E" w:rsidRPr="00EE73DA">
        <w:rPr>
          <w:rFonts w:cstheme="minorHAnsi"/>
          <w:sz w:val="24"/>
          <w:szCs w:val="24"/>
        </w:rPr>
        <w:t xml:space="preserve"> for more information.</w:t>
      </w:r>
    </w:p>
    <w:sectPr w:rsidR="000E46D0" w:rsidRPr="00EE73DA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F32D" w14:textId="77777777" w:rsidR="006E6636" w:rsidRDefault="006E6636" w:rsidP="00A07106">
      <w:pPr>
        <w:spacing w:after="0" w:line="240" w:lineRule="auto"/>
      </w:pPr>
      <w:r>
        <w:separator/>
      </w:r>
    </w:p>
  </w:endnote>
  <w:endnote w:type="continuationSeparator" w:id="0">
    <w:p w14:paraId="50B99422" w14:textId="77777777" w:rsidR="006E6636" w:rsidRDefault="006E6636" w:rsidP="00A0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2EBA" w14:textId="77777777" w:rsidR="006E6636" w:rsidRDefault="006E6636" w:rsidP="00A07106">
      <w:pPr>
        <w:spacing w:after="0" w:line="240" w:lineRule="auto"/>
      </w:pPr>
      <w:r>
        <w:separator/>
      </w:r>
    </w:p>
  </w:footnote>
  <w:footnote w:type="continuationSeparator" w:id="0">
    <w:p w14:paraId="4113CC2E" w14:textId="77777777" w:rsidR="006E6636" w:rsidRDefault="006E6636" w:rsidP="00A0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E866" w14:textId="79DF208E" w:rsidR="004B01A5" w:rsidRDefault="00960297" w:rsidP="004B01A5">
    <w:pPr>
      <w:pStyle w:val="Header"/>
      <w:jc w:val="center"/>
    </w:pPr>
    <w:r>
      <w:rPr>
        <w:noProof/>
      </w:rPr>
      <w:drawing>
        <wp:inline distT="0" distB="0" distL="0" distR="0" wp14:anchorId="10540A5D" wp14:editId="625E3E26">
          <wp:extent cx="1610750" cy="470084"/>
          <wp:effectExtent l="0" t="0" r="8890" b="6350"/>
          <wp:docPr id="612570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771" cy="5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755E"/>
    <w:multiLevelType w:val="hybridMultilevel"/>
    <w:tmpl w:val="5E6A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62C4"/>
    <w:multiLevelType w:val="hybridMultilevel"/>
    <w:tmpl w:val="AAE0E3A6"/>
    <w:lvl w:ilvl="0" w:tplc="DC1A4F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4814"/>
    <w:multiLevelType w:val="hybridMultilevel"/>
    <w:tmpl w:val="B4E2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53266"/>
    <w:multiLevelType w:val="hybridMultilevel"/>
    <w:tmpl w:val="7584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565F"/>
    <w:multiLevelType w:val="hybridMultilevel"/>
    <w:tmpl w:val="E8ACCD9E"/>
    <w:lvl w:ilvl="0" w:tplc="DC1A4F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04708">
    <w:abstractNumId w:val="3"/>
  </w:num>
  <w:num w:numId="2" w16cid:durableId="510032180">
    <w:abstractNumId w:val="1"/>
  </w:num>
  <w:num w:numId="3" w16cid:durableId="1936748881">
    <w:abstractNumId w:val="4"/>
  </w:num>
  <w:num w:numId="4" w16cid:durableId="2032797450">
    <w:abstractNumId w:val="0"/>
  </w:num>
  <w:num w:numId="5" w16cid:durableId="666978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94"/>
    <w:rsid w:val="00041DBD"/>
    <w:rsid w:val="000622A0"/>
    <w:rsid w:val="0006547F"/>
    <w:rsid w:val="0007045B"/>
    <w:rsid w:val="00070EE6"/>
    <w:rsid w:val="000723AB"/>
    <w:rsid w:val="00090ED6"/>
    <w:rsid w:val="0009659D"/>
    <w:rsid w:val="000B69F5"/>
    <w:rsid w:val="000D19D6"/>
    <w:rsid w:val="000E46D0"/>
    <w:rsid w:val="000E6086"/>
    <w:rsid w:val="001308B1"/>
    <w:rsid w:val="00147EF7"/>
    <w:rsid w:val="002102BB"/>
    <w:rsid w:val="00251431"/>
    <w:rsid w:val="002A7ED7"/>
    <w:rsid w:val="002C2BEA"/>
    <w:rsid w:val="002C34A0"/>
    <w:rsid w:val="002C37D1"/>
    <w:rsid w:val="002D386C"/>
    <w:rsid w:val="0032498C"/>
    <w:rsid w:val="00376A7C"/>
    <w:rsid w:val="00385435"/>
    <w:rsid w:val="003B308A"/>
    <w:rsid w:val="004203D5"/>
    <w:rsid w:val="0046589F"/>
    <w:rsid w:val="004820EB"/>
    <w:rsid w:val="00483939"/>
    <w:rsid w:val="00497370"/>
    <w:rsid w:val="004A09D3"/>
    <w:rsid w:val="004A7835"/>
    <w:rsid w:val="004B01A5"/>
    <w:rsid w:val="00501309"/>
    <w:rsid w:val="00502B93"/>
    <w:rsid w:val="00563A7B"/>
    <w:rsid w:val="00566198"/>
    <w:rsid w:val="00596E1E"/>
    <w:rsid w:val="005A1588"/>
    <w:rsid w:val="005C52A1"/>
    <w:rsid w:val="005C77C4"/>
    <w:rsid w:val="006005AE"/>
    <w:rsid w:val="00605D9C"/>
    <w:rsid w:val="00614C30"/>
    <w:rsid w:val="00650602"/>
    <w:rsid w:val="006C68C1"/>
    <w:rsid w:val="006E13D5"/>
    <w:rsid w:val="006E6636"/>
    <w:rsid w:val="006E673D"/>
    <w:rsid w:val="007169C7"/>
    <w:rsid w:val="00744B8F"/>
    <w:rsid w:val="00752FCE"/>
    <w:rsid w:val="007C2767"/>
    <w:rsid w:val="007D0C41"/>
    <w:rsid w:val="00803F2E"/>
    <w:rsid w:val="00823B0F"/>
    <w:rsid w:val="00846B02"/>
    <w:rsid w:val="0089427B"/>
    <w:rsid w:val="008A2A12"/>
    <w:rsid w:val="008B3029"/>
    <w:rsid w:val="008B7996"/>
    <w:rsid w:val="00933C7E"/>
    <w:rsid w:val="00944E3B"/>
    <w:rsid w:val="00960297"/>
    <w:rsid w:val="009718DD"/>
    <w:rsid w:val="00995E45"/>
    <w:rsid w:val="009B4DFE"/>
    <w:rsid w:val="009F4F75"/>
    <w:rsid w:val="009F6AB0"/>
    <w:rsid w:val="00A07106"/>
    <w:rsid w:val="00A20BE5"/>
    <w:rsid w:val="00A37CC6"/>
    <w:rsid w:val="00AB1682"/>
    <w:rsid w:val="00B30696"/>
    <w:rsid w:val="00BC2DC4"/>
    <w:rsid w:val="00BE1AB1"/>
    <w:rsid w:val="00C049FC"/>
    <w:rsid w:val="00C35D37"/>
    <w:rsid w:val="00C72F29"/>
    <w:rsid w:val="00C84174"/>
    <w:rsid w:val="00C97628"/>
    <w:rsid w:val="00CA77B9"/>
    <w:rsid w:val="00CB05E7"/>
    <w:rsid w:val="00CE3131"/>
    <w:rsid w:val="00D03F99"/>
    <w:rsid w:val="00D04D6B"/>
    <w:rsid w:val="00D45094"/>
    <w:rsid w:val="00D8341B"/>
    <w:rsid w:val="00D91BF1"/>
    <w:rsid w:val="00DA1653"/>
    <w:rsid w:val="00DB4F97"/>
    <w:rsid w:val="00E05997"/>
    <w:rsid w:val="00E97432"/>
    <w:rsid w:val="00EE12E8"/>
    <w:rsid w:val="00EE73DA"/>
    <w:rsid w:val="00EF064C"/>
    <w:rsid w:val="00EF69C5"/>
    <w:rsid w:val="00F148DA"/>
    <w:rsid w:val="00F15ECE"/>
    <w:rsid w:val="00F162EA"/>
    <w:rsid w:val="00F21446"/>
    <w:rsid w:val="00F47EFA"/>
    <w:rsid w:val="00F727D2"/>
    <w:rsid w:val="00FC5956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19B9D"/>
  <w15:chartTrackingRefBased/>
  <w15:docId w15:val="{EA685E66-034C-45E3-9688-3FEA1DB6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9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06"/>
  </w:style>
  <w:style w:type="paragraph" w:styleId="Footer">
    <w:name w:val="footer"/>
    <w:basedOn w:val="Normal"/>
    <w:link w:val="Foot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06"/>
  </w:style>
  <w:style w:type="paragraph" w:styleId="ListParagraph">
    <w:name w:val="List Paragraph"/>
    <w:basedOn w:val="Normal"/>
    <w:uiPriority w:val="34"/>
    <w:qFormat/>
    <w:rsid w:val="00D45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F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73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kme.com/lot/342941/place-des-nations-geneva-switzerlan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npw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icg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9AF92AE415E4C840A818B381DF61D" ma:contentTypeVersion="18" ma:contentTypeDescription="Create a new document." ma:contentTypeScope="" ma:versionID="cfc204f1560b2fb070fb99632a18a850">
  <xsd:schema xmlns:xsd="http://www.w3.org/2001/XMLSchema" xmlns:xs="http://www.w3.org/2001/XMLSchema" xmlns:p="http://schemas.microsoft.com/office/2006/metadata/properties" xmlns:ns2="7317005c-731c-4989-b16a-373369b4e1ee" xmlns:ns3="1f53fade-b7a2-46aa-9ff1-583a0afc40b4" xmlns:ns4="985ec44e-1bab-4c0b-9df0-6ba128686fc9" targetNamespace="http://schemas.microsoft.com/office/2006/metadata/properties" ma:root="true" ma:fieldsID="c7a9c426b70d38d1973c433f4ce8bae2" ns2:_="" ns3:_="" ns4:_="">
    <xsd:import namespace="7317005c-731c-4989-b16a-373369b4e1ee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005c-731c-4989-b16a-373369b4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317005c-731c-4989-b16a-373369b4e1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8E1C4B-8338-4440-8E48-F6437F08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005c-731c-4989-b16a-373369b4e1ee"/>
    <ds:schemaRef ds:uri="1f53fade-b7a2-46aa-9ff1-583a0afc40b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1B66-5404-48F6-B7BA-BC2785F8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A18BB-34E1-4F14-B9F2-C3F35AC327B2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317005c-731c-4989-b16a-373369b4e1ee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687</Words>
  <Characters>3916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Links>
    <vt:vector size="18" baseType="variant">
      <vt:variant>
        <vt:i4>8126574</vt:i4>
      </vt:variant>
      <vt:variant>
        <vt:i4>6</vt:i4>
      </vt:variant>
      <vt:variant>
        <vt:i4>0</vt:i4>
      </vt:variant>
      <vt:variant>
        <vt:i4>5</vt:i4>
      </vt:variant>
      <vt:variant>
        <vt:lpwstr>https://www.parkme.com/lot/342941/place-des-nations-geneva-switzerland</vt:lpwstr>
      </vt:variant>
      <vt:variant>
        <vt:lpwstr/>
      </vt:variant>
      <vt:variant>
        <vt:i4>4194369</vt:i4>
      </vt:variant>
      <vt:variant>
        <vt:i4>3</vt:i4>
      </vt:variant>
      <vt:variant>
        <vt:i4>0</vt:i4>
      </vt:variant>
      <vt:variant>
        <vt:i4>5</vt:i4>
      </vt:variant>
      <vt:variant>
        <vt:lpwstr>http://www.hnpw.org/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https://cicg.ch/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Peter</dc:creator>
  <cp:keywords/>
  <dc:description/>
  <cp:lastModifiedBy>Thomas Peter</cp:lastModifiedBy>
  <cp:revision>53</cp:revision>
  <dcterms:created xsi:type="dcterms:W3CDTF">2024-03-13T18:53:00Z</dcterms:created>
  <dcterms:modified xsi:type="dcterms:W3CDTF">2025-11-04T14:22:00Z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0x0101005329AF92AE415E4C840A818B381DF61D</vt:lpwstr>
  </property>
  <property fmtid="{D5CDD505-2E9C-101B-9397-08002B2CF9AE}" pid="3" name="MediaServiceImageTags">
    <vt:lpwstr/>
  </property>
</Properties>
</file>